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3C32" w14:textId="62B78A54" w:rsidR="00B2464F" w:rsidRPr="00E72C49" w:rsidRDefault="00B2464F" w:rsidP="00B2464F">
      <w:pPr>
        <w:spacing w:after="0" w:line="240" w:lineRule="auto"/>
        <w:rPr>
          <w:b/>
          <w:sz w:val="20"/>
          <w:szCs w:val="20"/>
          <w:lang w:val="en-US"/>
        </w:rPr>
      </w:pPr>
      <w:bookmarkStart w:id="0" w:name="_GoBack"/>
      <w:bookmarkEnd w:id="0"/>
      <w:r w:rsidRPr="00E72C49">
        <w:rPr>
          <w:b/>
          <w:sz w:val="20"/>
          <w:szCs w:val="20"/>
          <w:lang w:val="en-US"/>
        </w:rPr>
        <w:t>BodemUP: Plan-Do-Check-Act</w:t>
      </w:r>
      <w:r w:rsidR="00E14D3A" w:rsidRPr="00E72C49">
        <w:rPr>
          <w:b/>
          <w:sz w:val="20"/>
          <w:szCs w:val="20"/>
          <w:lang w:val="en-US"/>
        </w:rPr>
        <w:t xml:space="preserve"> werkwijze</w:t>
      </w:r>
    </w:p>
    <w:p w14:paraId="55AD2A72" w14:textId="77777777" w:rsidR="00B2464F" w:rsidRPr="00E72C49" w:rsidRDefault="00B2464F" w:rsidP="00B2464F">
      <w:pPr>
        <w:spacing w:after="0" w:line="240" w:lineRule="auto"/>
        <w:rPr>
          <w:sz w:val="20"/>
          <w:szCs w:val="20"/>
          <w:lang w:val="en-US"/>
        </w:rPr>
      </w:pPr>
    </w:p>
    <w:p w14:paraId="6F4240E9" w14:textId="37EC0592" w:rsidR="00B2464F" w:rsidRPr="00E72C49" w:rsidRDefault="00FB3D5A" w:rsidP="00B2464F">
      <w:p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BodemUP </w:t>
      </w:r>
      <w:r w:rsidR="00B2464F" w:rsidRPr="00E72C49">
        <w:rPr>
          <w:sz w:val="20"/>
          <w:szCs w:val="20"/>
        </w:rPr>
        <w:t xml:space="preserve"> </w:t>
      </w:r>
      <w:r w:rsidRPr="00E72C49">
        <w:rPr>
          <w:sz w:val="20"/>
          <w:szCs w:val="20"/>
        </w:rPr>
        <w:t xml:space="preserve">is </w:t>
      </w:r>
      <w:r w:rsidR="00B2464F" w:rsidRPr="00E72C49">
        <w:rPr>
          <w:sz w:val="20"/>
          <w:szCs w:val="20"/>
        </w:rPr>
        <w:t>opgezet volgen</w:t>
      </w:r>
      <w:r w:rsidRPr="00E72C49">
        <w:rPr>
          <w:sz w:val="20"/>
          <w:szCs w:val="20"/>
        </w:rPr>
        <w:t>s</w:t>
      </w:r>
      <w:r w:rsidR="00B2464F" w:rsidRPr="00E72C49">
        <w:rPr>
          <w:sz w:val="20"/>
          <w:szCs w:val="20"/>
        </w:rPr>
        <w:t xml:space="preserve"> de zogenaamde PCDA-cyclus</w:t>
      </w:r>
      <w:r w:rsidRPr="00E72C49">
        <w:rPr>
          <w:sz w:val="20"/>
          <w:szCs w:val="20"/>
        </w:rPr>
        <w:t>.</w:t>
      </w:r>
      <w:r w:rsidR="00E14D3A" w:rsidRPr="00E72C49">
        <w:rPr>
          <w:sz w:val="20"/>
          <w:szCs w:val="20"/>
        </w:rPr>
        <w:t xml:space="preserve"> </w:t>
      </w:r>
      <w:r w:rsidR="00B2464F" w:rsidRPr="00E72C49">
        <w:rPr>
          <w:sz w:val="20"/>
          <w:szCs w:val="20"/>
        </w:rPr>
        <w:t>Hierin worden vier fasen onderscheiden:</w:t>
      </w:r>
    </w:p>
    <w:p w14:paraId="5BC12141" w14:textId="77777777" w:rsidR="00B2464F" w:rsidRPr="00E72C49" w:rsidRDefault="00B2464F" w:rsidP="00B2464F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PLAN: </w:t>
      </w:r>
      <w:r w:rsidRPr="00E72C49">
        <w:rPr>
          <w:sz w:val="20"/>
          <w:szCs w:val="20"/>
        </w:rPr>
        <w:tab/>
        <w:t>Kijk en Benoem</w:t>
      </w:r>
    </w:p>
    <w:p w14:paraId="1B25A923" w14:textId="77777777" w:rsidR="00B2464F" w:rsidRPr="00E72C49" w:rsidRDefault="00B2464F" w:rsidP="00B2464F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DO: </w:t>
      </w:r>
      <w:r w:rsidRPr="00E72C49">
        <w:rPr>
          <w:sz w:val="20"/>
          <w:szCs w:val="20"/>
        </w:rPr>
        <w:tab/>
      </w:r>
      <w:r w:rsidRPr="00E72C49">
        <w:rPr>
          <w:sz w:val="20"/>
          <w:szCs w:val="20"/>
        </w:rPr>
        <w:tab/>
        <w:t>Kies en Doe</w:t>
      </w:r>
    </w:p>
    <w:p w14:paraId="0ED6541F" w14:textId="77777777" w:rsidR="00B2464F" w:rsidRPr="00E72C49" w:rsidRDefault="00B2464F" w:rsidP="00B2464F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CHECK: </w:t>
      </w:r>
      <w:r w:rsidRPr="00E72C49">
        <w:rPr>
          <w:sz w:val="20"/>
          <w:szCs w:val="20"/>
        </w:rPr>
        <w:tab/>
        <w:t>Tussentijdse evaluatie</w:t>
      </w:r>
    </w:p>
    <w:p w14:paraId="4F65E9C6" w14:textId="77777777" w:rsidR="00B2464F" w:rsidRPr="00E72C49" w:rsidRDefault="00B2464F" w:rsidP="00B2464F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ACT: </w:t>
      </w:r>
      <w:r w:rsidRPr="00E72C49">
        <w:rPr>
          <w:sz w:val="20"/>
          <w:szCs w:val="20"/>
        </w:rPr>
        <w:tab/>
      </w:r>
      <w:r w:rsidRPr="00E72C49">
        <w:rPr>
          <w:sz w:val="20"/>
          <w:szCs w:val="20"/>
        </w:rPr>
        <w:tab/>
        <w:t>Bijstellen</w:t>
      </w:r>
    </w:p>
    <w:p w14:paraId="13C639D5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  <w:r w:rsidRPr="00E72C49">
        <w:rPr>
          <w:i/>
          <w:noProof/>
          <w:color w:val="A6A6A6" w:themeColor="background1" w:themeShade="A6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58875D19" wp14:editId="61DB2693">
            <wp:simplePos x="0" y="0"/>
            <wp:positionH relativeFrom="page">
              <wp:posOffset>885825</wp:posOffset>
            </wp:positionH>
            <wp:positionV relativeFrom="paragraph">
              <wp:posOffset>33020</wp:posOffset>
            </wp:positionV>
            <wp:extent cx="5419725" cy="1989224"/>
            <wp:effectExtent l="0" t="0" r="0" b="0"/>
            <wp:wrapNone/>
            <wp:docPr id="1" name="Picture 2" descr="http://www.conceptdraw.com/solution-park/resource/images/solutions/management-plan-do-check-act/Management-Plan-Do-Check-Act-PDCA-Multiloop-P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onceptdraw.com/solution-park/resource/images/solutions/management-plan-do-check-act/Management-Plan-Do-Check-Act-PDCA-Multiloop-PD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8"/>
                    <a:stretch/>
                  </pic:blipFill>
                  <pic:spPr bwMode="auto">
                    <a:xfrm>
                      <a:off x="0" y="0"/>
                      <a:ext cx="5419725" cy="1989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55F3F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0143B694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1DBFF235" w14:textId="77777777" w:rsidR="00B2464F" w:rsidRPr="00E72C49" w:rsidRDefault="00B2464F" w:rsidP="00B2464F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 </w:t>
      </w:r>
    </w:p>
    <w:p w14:paraId="67BB95B2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226ACD15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764A60B6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1E6D2E44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5D949BD3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292AE58A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6DB4AA95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470112F6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0F413286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533BF946" w14:textId="77777777" w:rsidR="00B2464F" w:rsidRPr="00E72C49" w:rsidRDefault="00B2464F" w:rsidP="00B2464F">
      <w:pPr>
        <w:spacing w:after="0" w:line="240" w:lineRule="auto"/>
        <w:rPr>
          <w:i/>
          <w:sz w:val="20"/>
          <w:szCs w:val="20"/>
        </w:rPr>
      </w:pPr>
      <w:r w:rsidRPr="00E72C49">
        <w:rPr>
          <w:i/>
          <w:sz w:val="20"/>
          <w:szCs w:val="20"/>
        </w:rPr>
        <w:t>Figuur 2: PCDA-cyclus van Deming (N = 3 jaar)</w:t>
      </w:r>
    </w:p>
    <w:p w14:paraId="3ED6CDEB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51A681E4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>Op basis van P</w:t>
      </w:r>
      <w:r w:rsidR="00FB3D5A" w:rsidRPr="00E72C49">
        <w:rPr>
          <w:sz w:val="20"/>
          <w:szCs w:val="20"/>
        </w:rPr>
        <w:t xml:space="preserve">LAN-DO-CHECK-ACT </w:t>
      </w:r>
      <w:r w:rsidRPr="00E72C49">
        <w:rPr>
          <w:sz w:val="20"/>
          <w:szCs w:val="20"/>
        </w:rPr>
        <w:t xml:space="preserve"> worden binnen ‘Bodem UP’ de volgende vijf fasen toegepast, met bijbehorende </w:t>
      </w:r>
      <w:r w:rsidRPr="00E72C49">
        <w:rPr>
          <w:i/>
          <w:sz w:val="20"/>
          <w:szCs w:val="20"/>
        </w:rPr>
        <w:t>jaarlijkse</w:t>
      </w:r>
      <w:r w:rsidRPr="00E72C49">
        <w:rPr>
          <w:sz w:val="20"/>
          <w:szCs w:val="20"/>
        </w:rPr>
        <w:t xml:space="preserve"> activiteiten</w:t>
      </w:r>
      <w:r w:rsidR="00FB3D5A" w:rsidRPr="00E72C49">
        <w:rPr>
          <w:sz w:val="20"/>
          <w:szCs w:val="20"/>
        </w:rPr>
        <w:t>. We werken volgens een chronologisch proces:</w:t>
      </w:r>
    </w:p>
    <w:p w14:paraId="7BD1F9A4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41630569" w14:textId="77777777" w:rsidR="00FB3D5A" w:rsidRPr="00E72C49" w:rsidRDefault="00B2464F" w:rsidP="00B2464F">
      <w:pPr>
        <w:pStyle w:val="Lijstalinea"/>
        <w:numPr>
          <w:ilvl w:val="0"/>
          <w:numId w:val="1"/>
        </w:numPr>
        <w:spacing w:after="0" w:line="240" w:lineRule="auto"/>
        <w:ind w:left="720"/>
        <w:rPr>
          <w:b/>
          <w:sz w:val="20"/>
          <w:szCs w:val="20"/>
        </w:rPr>
      </w:pPr>
      <w:r w:rsidRPr="00E72C49">
        <w:rPr>
          <w:b/>
          <w:sz w:val="20"/>
          <w:szCs w:val="20"/>
        </w:rPr>
        <w:t xml:space="preserve">Plan-UP </w:t>
      </w:r>
      <w:r w:rsidRPr="00E72C49">
        <w:rPr>
          <w:b/>
          <w:sz w:val="20"/>
          <w:szCs w:val="20"/>
        </w:rPr>
        <w:tab/>
      </w:r>
    </w:p>
    <w:p w14:paraId="0ED3584D" w14:textId="77777777" w:rsidR="00FB3D5A" w:rsidRPr="00E72C49" w:rsidRDefault="00B2464F" w:rsidP="00FB3D5A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Bespreken Bemestingswijzer en invullen bodempaspoort   </w:t>
      </w:r>
      <w:r w:rsidR="00FB3D5A" w:rsidRPr="00E72C49">
        <w:rPr>
          <w:sz w:val="20"/>
          <w:szCs w:val="20"/>
        </w:rPr>
        <w:t xml:space="preserve">  </w:t>
      </w:r>
    </w:p>
    <w:p w14:paraId="5CEF3C91" w14:textId="77777777" w:rsidR="00B2464F" w:rsidRPr="00E72C49" w:rsidRDefault="00B2464F" w:rsidP="00FB3D5A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>(onderdeel van de 1</w:t>
      </w:r>
      <w:r w:rsidRPr="00E72C49">
        <w:rPr>
          <w:sz w:val="20"/>
          <w:szCs w:val="20"/>
          <w:vertAlign w:val="superscript"/>
        </w:rPr>
        <w:t>e</w:t>
      </w:r>
      <w:r w:rsidRPr="00E72C49">
        <w:rPr>
          <w:sz w:val="20"/>
          <w:szCs w:val="20"/>
        </w:rPr>
        <w:t xml:space="preserve"> kennisbijeenkomst)</w:t>
      </w:r>
    </w:p>
    <w:p w14:paraId="60F36229" w14:textId="77777777" w:rsidR="00FB3D5A" w:rsidRPr="00E72C49" w:rsidRDefault="00FB3D5A" w:rsidP="00FB3D5A">
      <w:pPr>
        <w:pStyle w:val="Lijstalinea"/>
        <w:spacing w:after="0" w:line="240" w:lineRule="auto"/>
        <w:rPr>
          <w:sz w:val="20"/>
          <w:szCs w:val="20"/>
        </w:rPr>
      </w:pPr>
    </w:p>
    <w:p w14:paraId="7409B6C7" w14:textId="77777777" w:rsidR="00FB3D5A" w:rsidRPr="00E72C49" w:rsidRDefault="00B2464F" w:rsidP="00B2464F">
      <w:pPr>
        <w:pStyle w:val="Lijstalinea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E72C49">
        <w:rPr>
          <w:b/>
          <w:sz w:val="20"/>
          <w:szCs w:val="20"/>
        </w:rPr>
        <w:t>Do-UP</w:t>
      </w:r>
      <w:r w:rsidRPr="00E72C49">
        <w:rPr>
          <w:sz w:val="20"/>
          <w:szCs w:val="20"/>
        </w:rPr>
        <w:t xml:space="preserve"> </w:t>
      </w:r>
      <w:r w:rsidRPr="00E72C49">
        <w:rPr>
          <w:sz w:val="20"/>
          <w:szCs w:val="20"/>
        </w:rPr>
        <w:tab/>
      </w:r>
    </w:p>
    <w:p w14:paraId="33B5E21C" w14:textId="77777777" w:rsidR="00B2464F" w:rsidRPr="00E72C49" w:rsidRDefault="00B2464F" w:rsidP="00FB3D5A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>Actiepunten benoemen (onderdeel van de 1</w:t>
      </w:r>
      <w:r w:rsidRPr="00E72C49">
        <w:rPr>
          <w:sz w:val="20"/>
          <w:szCs w:val="20"/>
          <w:vertAlign w:val="superscript"/>
        </w:rPr>
        <w:t>e</w:t>
      </w:r>
      <w:r w:rsidRPr="00E72C49">
        <w:rPr>
          <w:sz w:val="20"/>
          <w:szCs w:val="20"/>
        </w:rPr>
        <w:t xml:space="preserve"> kennisbijeenkomst)</w:t>
      </w:r>
    </w:p>
    <w:p w14:paraId="63B022B6" w14:textId="77777777" w:rsidR="00FB3D5A" w:rsidRPr="00E72C49" w:rsidRDefault="00FB3D5A" w:rsidP="00FB3D5A">
      <w:pPr>
        <w:pStyle w:val="Lijstalinea"/>
        <w:spacing w:after="0" w:line="240" w:lineRule="auto"/>
        <w:rPr>
          <w:sz w:val="20"/>
          <w:szCs w:val="20"/>
        </w:rPr>
      </w:pPr>
    </w:p>
    <w:p w14:paraId="77309873" w14:textId="77777777" w:rsidR="00FB3D5A" w:rsidRPr="00E72C49" w:rsidRDefault="00B2464F" w:rsidP="00B2464F">
      <w:pPr>
        <w:pStyle w:val="Lijstalinea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E72C49">
        <w:rPr>
          <w:b/>
          <w:sz w:val="20"/>
          <w:szCs w:val="20"/>
        </w:rPr>
        <w:t>Check-UP</w:t>
      </w:r>
      <w:r w:rsidRPr="00E72C49">
        <w:rPr>
          <w:sz w:val="20"/>
          <w:szCs w:val="20"/>
        </w:rPr>
        <w:t xml:space="preserve"> </w:t>
      </w:r>
      <w:r w:rsidRPr="00E72C49">
        <w:rPr>
          <w:sz w:val="20"/>
          <w:szCs w:val="20"/>
        </w:rPr>
        <w:tab/>
      </w:r>
    </w:p>
    <w:p w14:paraId="1E55690B" w14:textId="77777777" w:rsidR="00B2464F" w:rsidRPr="00E72C49" w:rsidRDefault="00B2464F" w:rsidP="00FB3D5A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>Afstemming ondernemer met adviseur (2</w:t>
      </w:r>
      <w:r w:rsidRPr="00E72C49">
        <w:rPr>
          <w:sz w:val="20"/>
          <w:szCs w:val="20"/>
          <w:vertAlign w:val="superscript"/>
        </w:rPr>
        <w:t>e</w:t>
      </w:r>
      <w:r w:rsidRPr="00E72C49">
        <w:rPr>
          <w:sz w:val="20"/>
          <w:szCs w:val="20"/>
        </w:rPr>
        <w:t xml:space="preserve"> kennisbijeenkomst)</w:t>
      </w:r>
    </w:p>
    <w:p w14:paraId="4DAB88D0" w14:textId="77777777" w:rsidR="00FB3D5A" w:rsidRPr="00E72C49" w:rsidRDefault="00FB3D5A" w:rsidP="00FB3D5A">
      <w:pPr>
        <w:pStyle w:val="Lijstalinea"/>
        <w:spacing w:after="0" w:line="240" w:lineRule="auto"/>
        <w:rPr>
          <w:sz w:val="20"/>
          <w:szCs w:val="20"/>
        </w:rPr>
      </w:pPr>
    </w:p>
    <w:p w14:paraId="48AC67C8" w14:textId="77777777" w:rsidR="00FB3D5A" w:rsidRPr="00E72C49" w:rsidRDefault="00B2464F" w:rsidP="00B2464F">
      <w:pPr>
        <w:pStyle w:val="Lijstalinea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E72C49">
        <w:rPr>
          <w:b/>
          <w:sz w:val="20"/>
          <w:szCs w:val="20"/>
        </w:rPr>
        <w:t>Act-UP</w:t>
      </w:r>
      <w:r w:rsidRPr="00E72C49">
        <w:rPr>
          <w:sz w:val="20"/>
          <w:szCs w:val="20"/>
        </w:rPr>
        <w:t xml:space="preserve"> </w:t>
      </w:r>
      <w:r w:rsidRPr="00E72C49">
        <w:rPr>
          <w:sz w:val="20"/>
          <w:szCs w:val="20"/>
        </w:rPr>
        <w:tab/>
      </w:r>
    </w:p>
    <w:p w14:paraId="191643CB" w14:textId="77777777" w:rsidR="00B2464F" w:rsidRPr="00E72C49" w:rsidRDefault="00B2464F" w:rsidP="00FB3D5A">
      <w:pPr>
        <w:pStyle w:val="Lijstalinea"/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>Tussentijdse bijsturing met adviseur (3</w:t>
      </w:r>
      <w:r w:rsidRPr="00E72C49">
        <w:rPr>
          <w:sz w:val="20"/>
          <w:szCs w:val="20"/>
          <w:vertAlign w:val="superscript"/>
        </w:rPr>
        <w:t>e</w:t>
      </w:r>
      <w:r w:rsidRPr="00E72C49">
        <w:rPr>
          <w:sz w:val="20"/>
          <w:szCs w:val="20"/>
        </w:rPr>
        <w:t xml:space="preserve"> kennisbijeenkomst)</w:t>
      </w:r>
    </w:p>
    <w:p w14:paraId="063377F3" w14:textId="77777777" w:rsidR="00B2464F" w:rsidRPr="00E72C49" w:rsidRDefault="00B2464F" w:rsidP="00B2464F">
      <w:pPr>
        <w:pStyle w:val="Lijstalinea"/>
        <w:spacing w:after="0" w:line="240" w:lineRule="auto"/>
        <w:rPr>
          <w:sz w:val="20"/>
          <w:szCs w:val="20"/>
        </w:rPr>
      </w:pPr>
    </w:p>
    <w:p w14:paraId="7F8D5767" w14:textId="77777777" w:rsidR="00FB3D5A" w:rsidRPr="00E72C49" w:rsidRDefault="00B2464F" w:rsidP="00B2464F">
      <w:pPr>
        <w:pStyle w:val="Lijstalinea"/>
        <w:numPr>
          <w:ilvl w:val="0"/>
          <w:numId w:val="1"/>
        </w:numPr>
        <w:spacing w:after="0" w:line="240" w:lineRule="auto"/>
        <w:ind w:left="709" w:hanging="283"/>
        <w:rPr>
          <w:sz w:val="20"/>
          <w:szCs w:val="20"/>
        </w:rPr>
      </w:pPr>
      <w:r w:rsidRPr="00E72C49">
        <w:rPr>
          <w:b/>
          <w:sz w:val="20"/>
          <w:szCs w:val="20"/>
        </w:rPr>
        <w:t>Implementatie</w:t>
      </w:r>
      <w:r w:rsidRPr="00E72C49">
        <w:rPr>
          <w:sz w:val="20"/>
          <w:szCs w:val="20"/>
        </w:rPr>
        <w:t xml:space="preserve"> </w:t>
      </w:r>
      <w:r w:rsidRPr="00E72C49">
        <w:rPr>
          <w:sz w:val="20"/>
          <w:szCs w:val="20"/>
        </w:rPr>
        <w:tab/>
      </w:r>
    </w:p>
    <w:p w14:paraId="6C5EF81C" w14:textId="77777777" w:rsidR="00B2464F" w:rsidRPr="00E72C49" w:rsidRDefault="00B2464F" w:rsidP="00FB3D5A">
      <w:pPr>
        <w:pStyle w:val="Lijstalinea"/>
        <w:spacing w:after="0" w:line="240" w:lineRule="auto"/>
        <w:ind w:left="709"/>
        <w:rPr>
          <w:sz w:val="20"/>
          <w:szCs w:val="20"/>
        </w:rPr>
      </w:pPr>
      <w:r w:rsidRPr="00E72C49">
        <w:rPr>
          <w:sz w:val="20"/>
          <w:szCs w:val="20"/>
        </w:rPr>
        <w:t xml:space="preserve">Duurzame implementatie door deelnemers doordat ze de maatregelen opnemen in de bedrijfsvoering en vertalen naar de overige percelen in de bedrijfsvoering. </w:t>
      </w:r>
    </w:p>
    <w:p w14:paraId="12614761" w14:textId="77777777" w:rsidR="00B2464F" w:rsidRPr="00E72C49" w:rsidRDefault="00B2464F" w:rsidP="00B2464F">
      <w:pPr>
        <w:spacing w:after="0" w:line="240" w:lineRule="auto"/>
        <w:rPr>
          <w:sz w:val="20"/>
          <w:szCs w:val="20"/>
        </w:rPr>
      </w:pPr>
    </w:p>
    <w:p w14:paraId="38FC1BCC" w14:textId="0D4E486A" w:rsidR="00B2464F" w:rsidRDefault="00FB3D5A" w:rsidP="00B2464F">
      <w:pPr>
        <w:spacing w:after="0" w:line="240" w:lineRule="auto"/>
        <w:rPr>
          <w:sz w:val="20"/>
          <w:szCs w:val="20"/>
        </w:rPr>
      </w:pPr>
      <w:r w:rsidRPr="00AC5DDA">
        <w:rPr>
          <w:b/>
          <w:sz w:val="20"/>
          <w:szCs w:val="20"/>
        </w:rPr>
        <w:t>Wat betekent dit in de praktijk</w:t>
      </w:r>
      <w:r w:rsidR="00B2464F" w:rsidRPr="00E72C49">
        <w:rPr>
          <w:sz w:val="20"/>
          <w:szCs w:val="20"/>
        </w:rPr>
        <w:t xml:space="preserve">: </w:t>
      </w:r>
    </w:p>
    <w:p w14:paraId="0F3CB0E0" w14:textId="77777777" w:rsidR="00AC5DDA" w:rsidRPr="00E72C49" w:rsidRDefault="00AC5DDA" w:rsidP="00B2464F">
      <w:pPr>
        <w:spacing w:after="0" w:line="240" w:lineRule="auto"/>
        <w:rPr>
          <w:sz w:val="20"/>
          <w:szCs w:val="20"/>
        </w:rPr>
      </w:pPr>
    </w:p>
    <w:p w14:paraId="3AC3267E" w14:textId="3EDD4EB6" w:rsidR="00B2464F" w:rsidRDefault="00B2464F" w:rsidP="00B2464F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Bovengenoemde vijf fasen worden chronologisch in één jaar uitgevoerd. </w:t>
      </w:r>
    </w:p>
    <w:p w14:paraId="4B217309" w14:textId="77777777" w:rsidR="00AC5DDA" w:rsidRPr="00E72C49" w:rsidRDefault="00AC5DDA" w:rsidP="00AC5DDA">
      <w:pPr>
        <w:pStyle w:val="Lijstalinea"/>
        <w:spacing w:after="0" w:line="240" w:lineRule="auto"/>
        <w:rPr>
          <w:sz w:val="20"/>
          <w:szCs w:val="20"/>
        </w:rPr>
      </w:pPr>
    </w:p>
    <w:p w14:paraId="6BA89141" w14:textId="264AB97B" w:rsidR="00B2464F" w:rsidRDefault="00B2464F" w:rsidP="00B2464F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In totaal wordt de cyclus binnen het project drie keer doorlopen. </w:t>
      </w:r>
    </w:p>
    <w:p w14:paraId="1BBA5F54" w14:textId="77777777" w:rsidR="00AC5DDA" w:rsidRPr="00AC5DDA" w:rsidRDefault="00AC5DDA" w:rsidP="00AC5DDA">
      <w:pPr>
        <w:spacing w:after="0" w:line="240" w:lineRule="auto"/>
        <w:rPr>
          <w:sz w:val="20"/>
          <w:szCs w:val="20"/>
        </w:rPr>
      </w:pPr>
    </w:p>
    <w:p w14:paraId="3CD95084" w14:textId="5DC560EE" w:rsidR="00B2464F" w:rsidRDefault="00B2464F" w:rsidP="00B2464F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De agrarische ondernemers bespreken per bedrijf één perceel diepgaand. Hiervoor wordt een zogenaamd ‘Bodemverbeterplan’ opgesteld. Bedoeling is dat de ondernemer deze aanpak ook op andere percelen implementeert. </w:t>
      </w:r>
    </w:p>
    <w:p w14:paraId="782481BE" w14:textId="77777777" w:rsidR="00AC5DDA" w:rsidRPr="00AC5DDA" w:rsidRDefault="00AC5DDA" w:rsidP="00AC5DDA">
      <w:pPr>
        <w:spacing w:after="0" w:line="240" w:lineRule="auto"/>
        <w:rPr>
          <w:sz w:val="20"/>
          <w:szCs w:val="20"/>
        </w:rPr>
      </w:pPr>
    </w:p>
    <w:p w14:paraId="77F2B2FD" w14:textId="77777777" w:rsidR="00B2464F" w:rsidRPr="00E72C49" w:rsidRDefault="00B2464F" w:rsidP="00B2464F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C49">
        <w:rPr>
          <w:sz w:val="20"/>
          <w:szCs w:val="20"/>
        </w:rPr>
        <w:t xml:space="preserve">De ondernemers kiezen samen met de adviseur voor de overige percelen in de grondwaterbeschermingsgebieden maatregelen die zij daar gaan toepassen. Dit wordt ingevoerd in het bodempaspoort. </w:t>
      </w:r>
    </w:p>
    <w:p w14:paraId="6B2D41CF" w14:textId="77777777" w:rsidR="00E72C49" w:rsidRPr="00E72C49" w:rsidRDefault="00E72C49">
      <w:pPr>
        <w:rPr>
          <w:sz w:val="20"/>
          <w:szCs w:val="20"/>
        </w:rPr>
      </w:pPr>
    </w:p>
    <w:sectPr w:rsidR="00E72C49" w:rsidRPr="00E72C49" w:rsidSect="001F0A1A">
      <w:type w:val="continuous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E68F" w14:textId="77777777" w:rsidR="00B2464F" w:rsidRDefault="00B2464F" w:rsidP="00E475A6">
      <w:r>
        <w:separator/>
      </w:r>
    </w:p>
  </w:endnote>
  <w:endnote w:type="continuationSeparator" w:id="0">
    <w:p w14:paraId="7CA96888" w14:textId="77777777" w:rsidR="00B2464F" w:rsidRDefault="00B2464F" w:rsidP="00E4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26FA" w14:textId="77777777" w:rsidR="00B2464F" w:rsidRDefault="00B2464F" w:rsidP="00E475A6">
      <w:r>
        <w:separator/>
      </w:r>
    </w:p>
  </w:footnote>
  <w:footnote w:type="continuationSeparator" w:id="0">
    <w:p w14:paraId="56EFADBA" w14:textId="77777777" w:rsidR="00B2464F" w:rsidRDefault="00B2464F" w:rsidP="00E4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3E0F"/>
    <w:multiLevelType w:val="hybridMultilevel"/>
    <w:tmpl w:val="B58E7C90"/>
    <w:lvl w:ilvl="0" w:tplc="0413000F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72" w:hanging="360"/>
      </w:pPr>
    </w:lvl>
    <w:lvl w:ilvl="2" w:tplc="0413001B">
      <w:start w:val="1"/>
      <w:numFmt w:val="lowerRoman"/>
      <w:lvlText w:val="%3."/>
      <w:lvlJc w:val="right"/>
      <w:pPr>
        <w:ind w:left="3192" w:hanging="180"/>
      </w:pPr>
    </w:lvl>
    <w:lvl w:ilvl="3" w:tplc="0413000F">
      <w:start w:val="1"/>
      <w:numFmt w:val="decimal"/>
      <w:lvlText w:val="%4."/>
      <w:lvlJc w:val="left"/>
      <w:pPr>
        <w:ind w:left="3912" w:hanging="360"/>
      </w:pPr>
    </w:lvl>
    <w:lvl w:ilvl="4" w:tplc="04130019">
      <w:start w:val="1"/>
      <w:numFmt w:val="lowerLetter"/>
      <w:lvlText w:val="%5."/>
      <w:lvlJc w:val="left"/>
      <w:pPr>
        <w:ind w:left="4632" w:hanging="360"/>
      </w:pPr>
    </w:lvl>
    <w:lvl w:ilvl="5" w:tplc="0413001B" w:tentative="1">
      <w:start w:val="1"/>
      <w:numFmt w:val="lowerRoman"/>
      <w:lvlText w:val="%6."/>
      <w:lvlJc w:val="right"/>
      <w:pPr>
        <w:ind w:left="5352" w:hanging="180"/>
      </w:pPr>
    </w:lvl>
    <w:lvl w:ilvl="6" w:tplc="0413000F" w:tentative="1">
      <w:start w:val="1"/>
      <w:numFmt w:val="decimal"/>
      <w:lvlText w:val="%7."/>
      <w:lvlJc w:val="left"/>
      <w:pPr>
        <w:ind w:left="6072" w:hanging="360"/>
      </w:pPr>
    </w:lvl>
    <w:lvl w:ilvl="7" w:tplc="04130019" w:tentative="1">
      <w:start w:val="1"/>
      <w:numFmt w:val="lowerLetter"/>
      <w:lvlText w:val="%8."/>
      <w:lvlJc w:val="left"/>
      <w:pPr>
        <w:ind w:left="6792" w:hanging="360"/>
      </w:pPr>
    </w:lvl>
    <w:lvl w:ilvl="8" w:tplc="0413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432B13DC"/>
    <w:multiLevelType w:val="hybridMultilevel"/>
    <w:tmpl w:val="5900DF00"/>
    <w:lvl w:ilvl="0" w:tplc="CF102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51DA"/>
    <w:multiLevelType w:val="hybridMultilevel"/>
    <w:tmpl w:val="F2380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4F"/>
    <w:rsid w:val="000006F2"/>
    <w:rsid w:val="00026774"/>
    <w:rsid w:val="000A167E"/>
    <w:rsid w:val="001038B9"/>
    <w:rsid w:val="001B6389"/>
    <w:rsid w:val="001F0A1A"/>
    <w:rsid w:val="001F6790"/>
    <w:rsid w:val="003A238D"/>
    <w:rsid w:val="00437073"/>
    <w:rsid w:val="00512EEE"/>
    <w:rsid w:val="00715E28"/>
    <w:rsid w:val="00802F98"/>
    <w:rsid w:val="00805D7A"/>
    <w:rsid w:val="00823BF5"/>
    <w:rsid w:val="0097481F"/>
    <w:rsid w:val="009A0069"/>
    <w:rsid w:val="009B719E"/>
    <w:rsid w:val="00AC5DDA"/>
    <w:rsid w:val="00B2464F"/>
    <w:rsid w:val="00B30039"/>
    <w:rsid w:val="00E018DC"/>
    <w:rsid w:val="00E14D3A"/>
    <w:rsid w:val="00E475A6"/>
    <w:rsid w:val="00E72C49"/>
    <w:rsid w:val="00E7418C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DFFAD"/>
  <w15:chartTrackingRefBased/>
  <w15:docId w15:val="{C898D1C0-38DF-43CE-8CCA-6BDAD22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464F"/>
  </w:style>
  <w:style w:type="paragraph" w:styleId="Kop1">
    <w:name w:val="heading 1"/>
    <w:basedOn w:val="Standaard"/>
    <w:next w:val="Standaard"/>
    <w:link w:val="Kop1Char"/>
    <w:uiPriority w:val="9"/>
    <w:qFormat/>
    <w:rsid w:val="009A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3B93B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0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3B93B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0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3B93B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A0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93B93B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5A6"/>
    <w:pPr>
      <w:spacing w:after="0" w:line="240" w:lineRule="auto"/>
    </w:pPr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A0069"/>
    <w:rPr>
      <w:rFonts w:asciiTheme="majorHAnsi" w:eastAsiaTheme="majorEastAsia" w:hAnsiTheme="majorHAnsi" w:cstheme="majorBidi"/>
      <w:b/>
      <w:color w:val="93B93B" w:themeColor="accent2"/>
      <w:sz w:val="32"/>
      <w:szCs w:val="32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9A006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C85A4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0069"/>
    <w:rPr>
      <w:rFonts w:asciiTheme="majorHAnsi" w:eastAsiaTheme="majorEastAsia" w:hAnsiTheme="majorHAnsi" w:cstheme="majorBidi"/>
      <w:b/>
      <w:color w:val="1C85A4" w:themeColor="accent1"/>
      <w:spacing w:val="-10"/>
      <w:kern w:val="28"/>
      <w:sz w:val="56"/>
      <w:szCs w:val="5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9A0069"/>
    <w:rPr>
      <w:rFonts w:asciiTheme="majorHAnsi" w:eastAsiaTheme="majorEastAsia" w:hAnsiTheme="majorHAnsi" w:cstheme="majorBidi"/>
      <w:b/>
      <w:color w:val="93B93B" w:themeColor="accent2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9A0069"/>
    <w:rPr>
      <w:rFonts w:asciiTheme="majorHAnsi" w:eastAsiaTheme="majorEastAsia" w:hAnsiTheme="majorHAnsi" w:cstheme="majorBidi"/>
      <w:b/>
      <w:color w:val="93B93B" w:themeColor="accent2"/>
      <w:sz w:val="24"/>
      <w:szCs w:val="24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75A6"/>
    <w:rPr>
      <w:b/>
      <w:color w:val="1C85A4" w:themeColor="accent1"/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75A6"/>
    <w:rPr>
      <w:b/>
      <w:color w:val="1C85A4" w:themeColor="accent1"/>
      <w:sz w:val="26"/>
      <w:szCs w:val="2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A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069"/>
  </w:style>
  <w:style w:type="paragraph" w:styleId="Voettekst">
    <w:name w:val="footer"/>
    <w:basedOn w:val="Standaard"/>
    <w:link w:val="VoettekstChar"/>
    <w:uiPriority w:val="99"/>
    <w:unhideWhenUsed/>
    <w:rsid w:val="009A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069"/>
  </w:style>
  <w:style w:type="character" w:customStyle="1" w:styleId="Kop4Char">
    <w:name w:val="Kop 4 Char"/>
    <w:basedOn w:val="Standaardalinea-lettertype"/>
    <w:link w:val="Kop4"/>
    <w:uiPriority w:val="9"/>
    <w:rsid w:val="009A0069"/>
    <w:rPr>
      <w:rFonts w:asciiTheme="majorHAnsi" w:eastAsiaTheme="majorEastAsia" w:hAnsiTheme="majorHAnsi" w:cstheme="majorBidi"/>
      <w:b/>
      <w:iCs/>
      <w:color w:val="93B93B" w:themeColor="accent2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E475A6"/>
    <w:pPr>
      <w:spacing w:before="200"/>
      <w:ind w:left="864" w:right="864"/>
    </w:pPr>
    <w:rPr>
      <w:i/>
      <w:iCs/>
      <w:color w:val="93B93B" w:themeColor="accent2"/>
    </w:rPr>
  </w:style>
  <w:style w:type="character" w:customStyle="1" w:styleId="CitaatChar">
    <w:name w:val="Citaat Char"/>
    <w:basedOn w:val="Standaardalinea-lettertype"/>
    <w:link w:val="Citaat"/>
    <w:uiPriority w:val="29"/>
    <w:rsid w:val="00E475A6"/>
    <w:rPr>
      <w:i/>
      <w:iCs/>
      <w:color w:val="93B93B" w:themeColor="accen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475A6"/>
    <w:rPr>
      <w:color w:val="5CAAB4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5A6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E4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E475A6"/>
    <w:pPr>
      <w:spacing w:after="0" w:line="240" w:lineRule="auto"/>
    </w:pPr>
    <w:tblPr>
      <w:tblStyleRowBandSize w:val="1"/>
      <w:tblStyleColBandSize w:val="1"/>
      <w:tblBorders>
        <w:top w:val="single" w:sz="4" w:space="0" w:color="92D7EC" w:themeColor="accent1" w:themeTint="66"/>
        <w:left w:val="single" w:sz="4" w:space="0" w:color="92D7EC" w:themeColor="accent1" w:themeTint="66"/>
        <w:bottom w:val="single" w:sz="4" w:space="0" w:color="92D7EC" w:themeColor="accent1" w:themeTint="66"/>
        <w:right w:val="single" w:sz="4" w:space="0" w:color="92D7EC" w:themeColor="accent1" w:themeTint="66"/>
        <w:insideH w:val="single" w:sz="4" w:space="0" w:color="92D7EC" w:themeColor="accent1" w:themeTint="66"/>
        <w:insideV w:val="single" w:sz="4" w:space="0" w:color="92D7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C3E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C3E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5">
    <w:name w:val="Grid Table 4 Accent 5"/>
    <w:basedOn w:val="Standaardtabel"/>
    <w:uiPriority w:val="49"/>
    <w:rsid w:val="00E475A6"/>
    <w:pPr>
      <w:spacing w:after="0" w:line="240" w:lineRule="auto"/>
    </w:pPr>
    <w:tblPr>
      <w:tblStyleRowBandSize w:val="1"/>
      <w:tblStyleColBandSize w:val="1"/>
      <w:tblBorders>
        <w:top w:val="single" w:sz="4" w:space="0" w:color="9DCBD2" w:themeColor="accent5" w:themeTint="99"/>
        <w:left w:val="single" w:sz="4" w:space="0" w:color="9DCBD2" w:themeColor="accent5" w:themeTint="99"/>
        <w:bottom w:val="single" w:sz="4" w:space="0" w:color="9DCBD2" w:themeColor="accent5" w:themeTint="99"/>
        <w:right w:val="single" w:sz="4" w:space="0" w:color="9DCBD2" w:themeColor="accent5" w:themeTint="99"/>
        <w:insideH w:val="single" w:sz="4" w:space="0" w:color="9DCBD2" w:themeColor="accent5" w:themeTint="99"/>
        <w:insideV w:val="single" w:sz="4" w:space="0" w:color="9DCB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AAB4" w:themeColor="accent5"/>
          <w:left w:val="single" w:sz="4" w:space="0" w:color="5CAAB4" w:themeColor="accent5"/>
          <w:bottom w:val="single" w:sz="4" w:space="0" w:color="5CAAB4" w:themeColor="accent5"/>
          <w:right w:val="single" w:sz="4" w:space="0" w:color="5CAAB4" w:themeColor="accent5"/>
          <w:insideH w:val="nil"/>
          <w:insideV w:val="nil"/>
        </w:tcBorders>
        <w:shd w:val="clear" w:color="auto" w:fill="5CAAB4" w:themeFill="accent5"/>
      </w:tcPr>
    </w:tblStylePr>
    <w:tblStylePr w:type="lastRow">
      <w:rPr>
        <w:b/>
        <w:bCs/>
      </w:rPr>
      <w:tblPr/>
      <w:tcPr>
        <w:tcBorders>
          <w:top w:val="double" w:sz="4" w:space="0" w:color="5CAA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0" w:themeFill="accent5" w:themeFillTint="33"/>
      </w:tcPr>
    </w:tblStylePr>
    <w:tblStylePr w:type="band1Horz">
      <w:tblPr/>
      <w:tcPr>
        <w:shd w:val="clear" w:color="auto" w:fill="DEEDF0" w:themeFill="accent5" w:themeFillTint="33"/>
      </w:tcPr>
    </w:tblStylePr>
  </w:style>
  <w:style w:type="paragraph" w:styleId="Lijstalinea">
    <w:name w:val="List Paragraph"/>
    <w:basedOn w:val="Standaard"/>
    <w:uiPriority w:val="34"/>
    <w:qFormat/>
    <w:rsid w:val="00B2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zlto">
  <a:themeElements>
    <a:clrScheme name="ZLTO">
      <a:dk1>
        <a:sysClr val="windowText" lastClr="000000"/>
      </a:dk1>
      <a:lt1>
        <a:sysClr val="window" lastClr="FFFFFF"/>
      </a:lt1>
      <a:dk2>
        <a:srgbClr val="363937"/>
      </a:dk2>
      <a:lt2>
        <a:srgbClr val="E7E6E6"/>
      </a:lt2>
      <a:accent1>
        <a:srgbClr val="1C85A4"/>
      </a:accent1>
      <a:accent2>
        <a:srgbClr val="93B93B"/>
      </a:accent2>
      <a:accent3>
        <a:srgbClr val="D8782D"/>
      </a:accent3>
      <a:accent4>
        <a:srgbClr val="ECE84D"/>
      </a:accent4>
      <a:accent5>
        <a:srgbClr val="5CAAB4"/>
      </a:accent5>
      <a:accent6>
        <a:srgbClr val="6B9A3F"/>
      </a:accent6>
      <a:hlink>
        <a:srgbClr val="5CAAB4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ij_x0020_Kenmerk xmlns="2e2bb4f8-e0a5-4ac5-aa9c-ae9978f70270" xsi:nil="true"/>
    <Definitief xmlns="2e2bb4f8-e0a5-4ac5-aa9c-ae9978f70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LTO Document" ma:contentTypeID="0x010100477D6E6C8DB2CD4BB0F073032E3317B40096E622343C528342BE14A45284538BC5" ma:contentTypeVersion="4" ma:contentTypeDescription=" " ma:contentTypeScope="" ma:versionID="8a40e1a900f54cde0dfdc84fed8a55ac">
  <xsd:schema xmlns:xsd="http://www.w3.org/2001/XMLSchema" xmlns:xs="http://www.w3.org/2001/XMLSchema" xmlns:p="http://schemas.microsoft.com/office/2006/metadata/properties" xmlns:ns2="2e2bb4f8-e0a5-4ac5-aa9c-ae9978f70270" xmlns:ns3="d207f260-5de3-4597-92ca-f4089859fcef" targetNamespace="http://schemas.microsoft.com/office/2006/metadata/properties" ma:root="true" ma:fieldsID="778bafa805af1e2325cbd0b6ae5ff3fd" ns2:_="" ns3:_="">
    <xsd:import namespace="2e2bb4f8-e0a5-4ac5-aa9c-ae9978f70270"/>
    <xsd:import namespace="d207f260-5de3-4597-92ca-f4089859fcef"/>
    <xsd:element name="properties">
      <xsd:complexType>
        <xsd:sequence>
          <xsd:element name="documentManagement">
            <xsd:complexType>
              <xsd:all>
                <xsd:element ref="ns2:Definitief" minOccurs="0"/>
                <xsd:element ref="ns2:Vrij_x0020_Kenmerk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bb4f8-e0a5-4ac5-aa9c-ae9978f70270" elementFormDefault="qualified">
    <xsd:import namespace="http://schemas.microsoft.com/office/2006/documentManagement/types"/>
    <xsd:import namespace="http://schemas.microsoft.com/office/infopath/2007/PartnerControls"/>
    <xsd:element name="Definitief" ma:index="8" nillable="true" ma:displayName="Definitief" ma:internalName="Definitief" ma:readOnly="false">
      <xsd:simpleType>
        <xsd:restriction base="dms:Boolean"/>
      </xsd:simpleType>
    </xsd:element>
    <xsd:element name="Vrij_x0020_Kenmerk" ma:index="9" nillable="true" ma:displayName="Vrij Kenmerk" ma:description="" ma:list="29e8aaff-7583-45fc-80df-c9c9f2af88fc" ma:internalName="Vrij_x0020_Kenmerk" ma:showField="Title" ma:web="2e2bb4f8-e0a5-4ac5-aa9c-ae9978f702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7f260-5de3-4597-92ca-f4089859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B7A3-6B27-4C4B-8735-05BAEC420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47C0E-3A26-4351-9DCB-FB63E6C6E239}">
  <ds:schemaRefs>
    <ds:schemaRef ds:uri="http://purl.org/dc/elements/1.1/"/>
    <ds:schemaRef ds:uri="http://schemas.microsoft.com/office/2006/metadata/properties"/>
    <ds:schemaRef ds:uri="http://purl.org/dc/terms/"/>
    <ds:schemaRef ds:uri="2e2bb4f8-e0a5-4ac5-aa9c-ae9978f7027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07f260-5de3-4597-92ca-f4089859fc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165FA-4130-4336-B367-27E4165B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bb4f8-e0a5-4ac5-aa9c-ae9978f70270"/>
    <ds:schemaRef ds:uri="d207f260-5de3-4597-92ca-f4089859f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D65EE-090B-4B0F-B2F6-1358906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Grassens, Marieke</dc:creator>
  <cp:keywords/>
  <dc:description/>
  <cp:lastModifiedBy>Grassens, Marieke</cp:lastModifiedBy>
  <cp:revision>2</cp:revision>
  <dcterms:created xsi:type="dcterms:W3CDTF">2019-04-01T12:55:00Z</dcterms:created>
  <dcterms:modified xsi:type="dcterms:W3CDTF">2019-04-01T12:55:00Z</dcterms:modified>
</cp:coreProperties>
</file>